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26, 2026</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APOGEE ENTERPRISES, INC.</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Minnesota</w:t>
            </w:r>
          </w:p>
        </w:tc>
        <w:tc>
          <w:tcPr>
            <w:tcW w:w="80" w:type="dxa"/>
            <w:vAlign w:val="bottom"/>
          </w:tcPr>
          <w:p>
            <w:pPr>
              <w:spacing w:after="0"/>
              <w:rPr>
                <w:sz w:val="19"/>
                <w:szCs w:val="19"/>
                <w:color w:val="auto"/>
              </w:rPr>
            </w:pPr>
          </w:p>
        </w:tc>
        <w:tc>
          <w:tcPr>
            <w:tcW w:w="23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0-6365</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3"/>
          </w:tcPr>
          <w:p>
            <w:pPr>
              <w:jc w:val="right"/>
              <w:ind w:right="1719"/>
              <w:spacing w:after="0"/>
              <w:rPr>
                <w:sz w:val="20"/>
                <w:szCs w:val="20"/>
                <w:color w:val="auto"/>
              </w:rPr>
            </w:pPr>
            <w:r>
              <w:rPr>
                <w:rFonts w:ascii="Times New Roman" w:cs="Times New Roman" w:eastAsia="Times New Roman" w:hAnsi="Times New Roman"/>
                <w:sz w:val="16"/>
                <w:szCs w:val="16"/>
                <w:b w:val="1"/>
                <w:bCs w:val="1"/>
                <w:color w:val="auto"/>
              </w:rPr>
              <w:t>41-0919654</w:t>
            </w:r>
          </w:p>
        </w:tc>
      </w:tr>
      <w:tr>
        <w:trPr>
          <w:trHeight w:val="223"/>
        </w:trPr>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23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(Commission File Number)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20" w:type="dxa"/>
            <w:vAlign w:val="bottom"/>
            <w:gridSpan w:val="3"/>
          </w:tcPr>
          <w:p>
            <w:pPr>
              <w:jc w:val="center"/>
              <w:ind w:right="6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70"/>
        </w:trPr>
        <w:tc>
          <w:tcPr>
            <w:tcW w:w="4120" w:type="dxa"/>
            <w:vAlign w:val="bottom"/>
            <w:gridSpan w:val="2"/>
          </w:tcPr>
          <w:p>
            <w:pPr>
              <w:ind w:left="860"/>
              <w:spacing w:after="0"/>
              <w:rPr>
                <w:sz w:val="20"/>
                <w:szCs w:val="20"/>
                <w:color w:val="auto"/>
              </w:rPr>
            </w:pPr>
            <w:r>
              <w:rPr>
                <w:rFonts w:ascii="Times New Roman" w:cs="Times New Roman" w:eastAsia="Times New Roman" w:hAnsi="Times New Roman"/>
                <w:sz w:val="16"/>
                <w:szCs w:val="16"/>
                <w:b w:val="1"/>
                <w:bCs w:val="1"/>
                <w:color w:val="242424"/>
              </w:rPr>
              <w:t>4400 West 78th Street, Suite 520</w:t>
            </w:r>
          </w:p>
        </w:tc>
        <w:tc>
          <w:tcPr>
            <w:tcW w:w="23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242424"/>
              </w:rPr>
              <w:t>Minneapolis</w:t>
            </w: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242424"/>
              </w:rPr>
              <w:t>Minnesota</w:t>
            </w:r>
          </w:p>
        </w:tc>
        <w:tc>
          <w:tcPr>
            <w:tcW w:w="3620" w:type="dxa"/>
            <w:vAlign w:val="bottom"/>
            <w:gridSpan w:val="3"/>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55435</w:t>
            </w:r>
          </w:p>
        </w:tc>
      </w:tr>
      <w:tr>
        <w:trPr>
          <w:trHeight w:val="207"/>
        </w:trPr>
        <w:tc>
          <w:tcPr>
            <w:tcW w:w="6500" w:type="dxa"/>
            <w:vAlign w:val="bottom"/>
            <w:tcBorders>
              <w:top w:val="single" w:sz="8" w:color="auto"/>
            </w:tcBorders>
            <w:gridSpan w:val="3"/>
          </w:tcPr>
          <w:p>
            <w:pPr>
              <w:ind w:left="270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3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6"/>
          <w:szCs w:val="16"/>
          <w:b w:val="1"/>
          <w:bCs w:val="1"/>
          <w:color w:val="242424"/>
        </w:rPr>
        <w:t>(952) 835-1874</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35"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700" w:hanging="43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700" w:hanging="43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700" w:hanging="436"/>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08"/>
        </w:trPr>
        <w:tc>
          <w:tcPr>
            <w:tcW w:w="12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600" w:type="dxa"/>
            <w:vAlign w:val="bottom"/>
          </w:tcPr>
          <w:p>
            <w:pPr>
              <w:spacing w:after="0"/>
              <w:rPr>
                <w:sz w:val="18"/>
                <w:szCs w:val="18"/>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4"/>
        </w:trPr>
        <w:tc>
          <w:tcPr>
            <w:tcW w:w="4680" w:type="dxa"/>
            <w:vAlign w:val="bottom"/>
            <w:gridSpan w:val="3"/>
          </w:tcPr>
          <w:p>
            <w:pPr>
              <w:jc w:val="center"/>
              <w:ind w:right="1020"/>
              <w:spacing w:after="0"/>
              <w:rPr>
                <w:sz w:val="20"/>
                <w:szCs w:val="20"/>
                <w:color w:val="auto"/>
              </w:rPr>
            </w:pPr>
            <w:r>
              <w:rPr>
                <w:rFonts w:ascii="Times New Roman" w:cs="Times New Roman" w:eastAsia="Times New Roman" w:hAnsi="Times New Roman"/>
                <w:sz w:val="16"/>
                <w:szCs w:val="16"/>
                <w:color w:val="auto"/>
              </w:rPr>
              <w:t>Common Stock, $0.33 1/3 Par Value</w:t>
            </w:r>
          </w:p>
        </w:tc>
        <w:tc>
          <w:tcPr>
            <w:tcW w:w="240" w:type="dxa"/>
            <w:vAlign w:val="bottom"/>
          </w:tcPr>
          <w:p>
            <w:pPr>
              <w:spacing w:after="0"/>
              <w:rPr>
                <w:sz w:val="21"/>
                <w:szCs w:val="21"/>
                <w:color w:val="auto"/>
              </w:rPr>
            </w:pPr>
          </w:p>
        </w:tc>
        <w:tc>
          <w:tcPr>
            <w:tcW w:w="290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color w:val="auto"/>
              </w:rPr>
              <w:t>APOG</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195" w:lineRule="exact"/>
        <w:rPr>
          <w:sz w:val="24"/>
          <w:szCs w:val="24"/>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57" w:lineRule="exact"/>
        <w:rPr>
          <w:sz w:val="24"/>
          <w:szCs w:val="24"/>
          <w:color w:val="auto"/>
        </w:rPr>
      </w:pPr>
    </w:p>
    <w:p>
      <w:pPr>
        <w:ind w:left="240" w:hanging="192"/>
        <w:spacing w:after="0"/>
        <w:tabs>
          <w:tab w:leader="none" w:pos="2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Emerging growth company</w:t>
      </w:r>
    </w:p>
    <w:p>
      <w:pPr>
        <w:spacing w:after="0" w:line="59"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740"/>
        <w:spacing w:after="0" w:line="271"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 of Certain Officers</w:t>
      </w:r>
    </w:p>
    <w:p>
      <w:pPr>
        <w:spacing w:after="0" w:line="181" w:lineRule="exact"/>
        <w:rPr>
          <w:sz w:val="20"/>
          <w:szCs w:val="20"/>
          <w:color w:val="auto"/>
        </w:rPr>
      </w:pPr>
    </w:p>
    <w:p>
      <w:pPr>
        <w:sectPr>
          <w:pgSz w:w="11900" w:h="16838" w:orient="portrait"/>
          <w:cols w:equalWidth="0" w:num="2">
            <w:col w:w="980" w:space="720"/>
            <w:col w:w="95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26, 2026, Brent C. Jewell tendered his resignation as President of the Architectural Glass Segment of Apogee Enterprises,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 last day with the Company will be June 10, 2026.</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Jewell’s resignation is unrelated to the transaction announced by the Company on May 28, 2026 and was not the result of any disagreement with the Company on any matter relating to its operations, policies or practices. The timing of this disclosure reflects the Company’s reporting obligations only and should not be interpreted as indicating any relationship between the leadership transition and the transaction.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Jewell is expected to continue to support the Company, including with respect to transition, pre-closing and integration activities related to the transaction, through his final date of employment.</w:t>
      </w:r>
    </w:p>
    <w:p>
      <w:pPr>
        <w:sectPr>
          <w:pgSz w:w="11900" w:h="16838" w:orient="portrait"/>
          <w:cols w:equalWidth="0" w:num="1">
            <w:col w:w="11240"/>
          </w:cols>
          <w:pgMar w:left="320" w:top="1440" w:right="33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61" w:lineRule="exact"/>
        <w:rPr>
          <w:sz w:val="20"/>
          <w:szCs w:val="20"/>
          <w:color w:val="auto"/>
        </w:rPr>
      </w:pPr>
    </w:p>
    <w:p>
      <w:pPr>
        <w:sectPr>
          <w:pgSz w:w="11900" w:h="16838" w:orient="portrait"/>
          <w:cols w:equalWidth="0" w:num="2">
            <w:col w:w="860" w:space="720"/>
            <w:col w:w="966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7" w:lineRule="exact"/>
        <w:rPr>
          <w:sz w:val="20"/>
          <w:szCs w:val="20"/>
          <w:color w:val="auto"/>
        </w:rPr>
      </w:pPr>
    </w:p>
    <w:p>
      <w:pPr>
        <w:sectPr>
          <w:pgSz w:w="11900" w:h="16838" w:orient="portrait"/>
          <w:cols w:equalWidth="0" w:num="2">
            <w:col w:w="860" w:space="720"/>
            <w:col w:w="9660"/>
          </w:cols>
          <w:pgMar w:left="320" w:top="1440"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the report to be signed on its behalf by the undersigned hereunto duly authorized.</w:t>
      </w:r>
    </w:p>
    <w:p>
      <w:pPr>
        <w:spacing w:after="0" w:line="1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APOGEE ENTERPRISES, INC.</w:t>
      </w:r>
    </w:p>
    <w:p>
      <w:pPr>
        <w:spacing w:after="0" w:line="31" w:lineRule="exact"/>
        <w:rPr>
          <w:sz w:val="20"/>
          <w:szCs w:val="20"/>
          <w:color w:val="auto"/>
        </w:rPr>
      </w:pPr>
    </w:p>
    <w:p>
      <w:pPr>
        <w:ind w:left="516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/s/Bryan A. Welp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4290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Bryan A. Welp</w:t>
      </w:r>
    </w:p>
    <w:p>
      <w:pPr>
        <w:spacing w:after="0" w:line="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Vice President, General Counsel and Secretary</w:t>
      </w:r>
    </w:p>
    <w:p>
      <w:pPr>
        <w:spacing w:after="0" w:line="7"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2820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2026-05-29T08:05:04Z</dcterms:created>
  <dcterms:modified xsi:type="dcterms:W3CDTF">2026-05-29T08:05:04Z</dcterms:modified>
</cp:coreProperties>
</file>